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Osmanlı Müesseseleri Tarihi TAR525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Ders Akışı: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22 Eylül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Yöntem ve Temel Bilgiler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29 Eylül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Divan-ı Hümayun Teşkilâtı ve Çalışma Usulleri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6 Ekim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Divan-ı Hümayun’un Bürokratik Yapısı ve Divan Kalemleri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13 Ekim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Askeri Teşkilât: Yeniçeriler ve Timarlı Sipahiler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20 Ekim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Defterdarlık ve Maliye Teşkilâtı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27 Ekim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Şeyhülislâmlık ve İlmiye Teşkilâtı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3 Kasım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Devlet İşlerinin Bâbıâli’ye İntikali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10 Kasım 2025, Pazartesi,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Meclis-i Meşveret ve Kurumsallaşması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17 Kasım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Saltanat Makamı Olarak Mabeyn-i Hümayun ve Teşekkülü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24 Kasım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II. Mahmud Dönemi Bürokratik Reformları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 Aralık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TTanzimat ve Kanunlaştırma Hareketleri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8 Aralık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Meclisler ve Meşveretin Yaygınlaştırılması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15 Aralık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II. Abdülhamid ve Yıldız Kamarillası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22 Aralık 2025, Pazartesi,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Meşrutiyet ve Kurumları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Kaynaklar: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Ali Akyıldız, Osmanlı Bürokrasisi ve Modernleşme, İletişim Yayınları, İstanbul 2012.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Carter Findley, Osmanlı İmparatorluğunda Bürokratik Reform (1789-1922), İz Yayınevi, İstanbul 1994.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İlhami Yurdakul, Osmanlı İlmiye Merkez Teşkilâtı’nda Reform (1826-1876), İletişim Yayınları, İstanbul 2008.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Abdullah Saydam, Osmanlı Medeniyeti Tarihi, Derya Kitabevi, Trabzon 1999.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Recep Ahıshalı, Osmanlı Devlet Teşkilâtında Reisülküttablık (XVIII. Yüzyıl), Tarih ve Tabiat Vakfı, İstanbul 2001.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Değerlendirme:</w:t>
        <w:tab/>
        <w:tab/>
        <w:tab/>
        <w:tab/>
        <w:tab/>
        <w:t xml:space="preserve">Katkı Payı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Ödev</w:t>
        <w:tab/>
        <w:tab/>
        <w:tab/>
        <w:tab/>
        <w:tab/>
        <w:tab/>
        <w:tab/>
        <w:t xml:space="preserve">%40</w:t>
        <w:tab/>
        <w:tab/>
        <w:tab/>
        <w:tab/>
        <w:tab/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Dönem Ödevi / Sunum</w:t>
        <w:tab/>
        <w:tab/>
        <w:tab/>
        <w:t xml:space="preserve">%60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AGvzX08r/92pPG3PJomVb+8dw==">CgMxLjA4AHIhMXBsQmxzT2lfX3VFZzdXVk1reXltdUZPak9mNFBjYzE4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2021-10-11T15:52:00Z</dcterms:created>
  <dc:creator>Ali Akyıldız</dc:creator>
</cp:coreProperties>
</file>